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sz w:val="48"/>
        </w:rPr>
        <w:t>AI investment decision paper</w:t>
      </w:r>
    </w:p>
    <w:p>
      <w:pPr>
        <w:spacing w:after="40"/>
      </w:pPr>
      <w:r>
        <w:rPr>
          <w:b/>
          <w:i w:val="0"/>
          <w:sz w:val="24"/>
        </w:rPr>
        <w:t>One investment, one paper: filled sample and blank</w:t>
      </w:r>
    </w:p>
    <w:p>
      <w:pPr>
        <w:spacing w:after="160"/>
      </w:pPr>
      <w:r>
        <w:rPr>
          <w:b w:val="0"/>
          <w:i/>
          <w:color w:val="555555"/>
        </w:rPr>
        <w:t>Companion to “An automation business case the board can test” at renzodemartini.com/automation-business-case/. Version of 3 November 2026.</w:t>
      </w:r>
    </w:p>
    <w:p>
      <w:pPr>
        <w:pStyle w:val="Heading2"/>
      </w:pPr>
      <w:r>
        <w:t>How to use it</w:t>
      </w:r>
    </w:p>
    <w:p>
      <w:pPr>
        <w:pStyle w:val="ListBullet"/>
        <w:spacing w:after="40"/>
      </w:pPr>
      <w:r>
        <w:t>Part A is a filled sample, built on the article’s sample order-to-cash proposal. Yellow cells are samples. Every business, figure and date in Part A is made up to show the method. None is a client or a result.</w:t>
      </w:r>
    </w:p>
    <w:p>
      <w:pPr>
        <w:pStyle w:val="ListBullet"/>
        <w:spacing w:after="40"/>
      </w:pPr>
      <w:r>
        <w:t>Part B is the same paper blank. Grey cells are yours. Fill in the evidence first, then the options, then the resolution.</w:t>
      </w:r>
    </w:p>
    <w:p>
      <w:pPr>
        <w:pStyle w:val="ListBullet"/>
        <w:spacing w:after="40"/>
      </w:pPr>
      <w:r>
        <w:t>Keep hours and dollars apart. Hours freed are capacity, not cash, until spending actually changes. Put the software and running costs beside every payback or value claim.</w:t>
      </w:r>
    </w:p>
    <w:p>
      <w:pPr>
        <w:pStyle w:val="ListBullet"/>
        <w:spacing w:after="40"/>
      </w:pPr>
      <w:r>
        <w:t>For your whole digital plan, business.gov.au has a free Digital strategy template (docx) that sets goals and actions. This paper is for one investment decision.</w:t>
      </w:r>
    </w:p>
    <w:p>
      <w:pPr>
        <w:pStyle w:val="ListBullet"/>
        <w:spacing w:after="40"/>
      </w:pPr>
      <w:r>
        <w:t>General information only. It is not legal, financial or tax advice. Have the resolution wording reviewed for your company by your adviser or company secretary.</w:t>
      </w:r>
    </w:p>
    <w:p>
      <w:r>
        <w:br w:type="page"/>
      </w:r>
    </w:p>
    <w:p>
      <w:pPr>
        <w:pStyle w:val="Heading1"/>
      </w:pPr>
      <w:r>
        <w:t>Part A: filled sample</w:t>
      </w:r>
    </w:p>
    <w:p>
      <w:pPr>
        <w:spacing w:after="80"/>
      </w:pPr>
      <w:r>
        <w:rPr>
          <w:b w:val="0"/>
          <w:i/>
          <w:color w:val="555555"/>
        </w:rPr>
        <w:t>Sample proposal: automate order handling across sales, operations and finance. Sample figures, excl. GST. Illustrative, not a client result.</w:t>
      </w:r>
    </w:p>
    <w:p>
      <w:pPr>
        <w:pStyle w:val="Heading2"/>
      </w:pPr>
      <w:r>
        <w:t>1. Decision sought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7087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Entry</w:t>
            </w:r>
          </w:p>
        </w:tc>
      </w:tr>
      <w:tr>
        <w:tc>
          <w:tcPr>
            <w:tcW w:type="dxa" w:w="2551"/>
            <w:shd w:val="clear" w:color="auto" w:fill="FFF4D6"/>
          </w:tcPr>
          <w:p>
            <w:r/>
            <w:r>
              <w:rPr>
                <w:sz w:val="19"/>
              </w:rPr>
              <w:t>Decision sought</w:t>
            </w:r>
          </w:p>
        </w:tc>
        <w:tc>
          <w:tcPr>
            <w:tcW w:type="dxa" w:w="7087"/>
            <w:shd w:val="clear" w:color="auto" w:fill="FFF4D6"/>
          </w:tcPr>
          <w:p>
            <w:r/>
            <w:r>
              <w:rPr>
                <w:sz w:val="19"/>
              </w:rPr>
              <w:t>Approve rollout of automated order handling (sample)? The proposed resolution in section 6 is to defer.</w:t>
            </w:r>
          </w:p>
        </w:tc>
      </w:tr>
      <w:tr>
        <w:tc>
          <w:tcPr>
            <w:tcW w:type="dxa" w:w="2551"/>
            <w:shd w:val="clear" w:color="auto" w:fill="FFF4D6"/>
          </w:tcPr>
          <w:p>
            <w:r/>
            <w:r>
              <w:rPr>
                <w:sz w:val="19"/>
              </w:rPr>
              <w:t>Decision maker</w:t>
            </w:r>
          </w:p>
        </w:tc>
        <w:tc>
          <w:tcPr>
            <w:tcW w:type="dxa" w:w="7087"/>
            <w:shd w:val="clear" w:color="auto" w:fill="FFF4D6"/>
          </w:tcPr>
          <w:p>
            <w:r/>
            <w:r>
              <w:rPr>
                <w:sz w:val="19"/>
              </w:rPr>
              <w:t>The board (sample)</w:t>
            </w:r>
          </w:p>
        </w:tc>
      </w:tr>
      <w:tr>
        <w:tc>
          <w:tcPr>
            <w:tcW w:type="dxa" w:w="2551"/>
            <w:shd w:val="clear" w:color="auto" w:fill="FFF4D6"/>
          </w:tcPr>
          <w:p>
            <w:r/>
            <w:r>
              <w:rPr>
                <w:sz w:val="19"/>
              </w:rPr>
              <w:t>Sponsor (role)</w:t>
            </w:r>
          </w:p>
        </w:tc>
        <w:tc>
          <w:tcPr>
            <w:tcW w:type="dxa" w:w="7087"/>
            <w:shd w:val="clear" w:color="auto" w:fill="FFF4D6"/>
          </w:tcPr>
          <w:p>
            <w:r/>
            <w:r>
              <w:rPr>
                <w:sz w:val="19"/>
              </w:rPr>
              <w:t>Operations manager</w:t>
            </w:r>
          </w:p>
        </w:tc>
      </w:tr>
      <w:tr>
        <w:tc>
          <w:tcPr>
            <w:tcW w:type="dxa" w:w="2551"/>
            <w:shd w:val="clear" w:color="auto" w:fill="FFF4D6"/>
          </w:tcPr>
          <w:p>
            <w:r/>
            <w:r>
              <w:rPr>
                <w:sz w:val="19"/>
              </w:rPr>
              <w:t>Meeting date</w:t>
            </w:r>
          </w:p>
        </w:tc>
        <w:tc>
          <w:tcPr>
            <w:tcW w:type="dxa" w:w="7087"/>
            <w:shd w:val="clear" w:color="auto" w:fill="FFF4D6"/>
          </w:tcPr>
          <w:p>
            <w:r/>
            <w:r>
              <w:rPr>
                <w:sz w:val="19"/>
              </w:rPr>
              <w:t>Sample board meeting</w:t>
            </w:r>
          </w:p>
        </w:tc>
      </w:tr>
      <w:tr>
        <w:tc>
          <w:tcPr>
            <w:tcW w:type="dxa" w:w="2551"/>
            <w:shd w:val="clear" w:color="auto" w:fill="FFF4D6"/>
          </w:tcPr>
          <w:p>
            <w:r/>
            <w:r>
              <w:rPr>
                <w:sz w:val="19"/>
              </w:rPr>
              <w:t>Review date</w:t>
            </w:r>
          </w:p>
        </w:tc>
        <w:tc>
          <w:tcPr>
            <w:tcW w:type="dxa" w:w="7087"/>
            <w:shd w:val="clear" w:color="auto" w:fill="FFF4D6"/>
          </w:tcPr>
          <w:p>
            <w:r/>
            <w:r>
              <w:rPr>
                <w:sz w:val="19"/>
              </w:rPr>
              <w:t>30 days after the meeting, at the next board meeting (sample)</w:t>
            </w:r>
          </w:p>
        </w:tc>
      </w:tr>
    </w:tbl>
    <w:p>
      <w:pPr>
        <w:spacing w:after="40"/>
      </w:pPr>
    </w:p>
    <w:p>
      <w:pPr>
        <w:pStyle w:val="Heading2"/>
      </w:pPr>
      <w:r>
        <w:t>2. Options, including doing nothing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26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587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Upfront cash</w:t>
            </w:r>
          </w:p>
        </w:tc>
        <w:tc>
          <w:tcPr>
            <w:tcW w:type="dxa" w:w="204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Overflow and corrections a month</w:t>
            </w:r>
          </w:p>
        </w:tc>
        <w:tc>
          <w:tcPr>
            <w:tcW w:type="dxa" w:w="204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Software and running a month</w:t>
            </w:r>
          </w:p>
        </w:tc>
        <w:tc>
          <w:tcPr>
            <w:tcW w:type="dxa" w:w="170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Total a month</w:t>
            </w:r>
          </w:p>
        </w:tc>
      </w:tr>
      <w:tr>
        <w:tc>
          <w:tcPr>
            <w:tcW w:type="dxa" w:w="2268"/>
            <w:shd w:val="clear" w:color="auto" w:fill="FFF4D6"/>
          </w:tcPr>
          <w:p>
            <w:r/>
            <w:r>
              <w:rPr>
                <w:sz w:val="19"/>
              </w:rPr>
              <w:t>Continue as now</w:t>
            </w:r>
          </w:p>
        </w:tc>
        <w:tc>
          <w:tcPr>
            <w:tcW w:type="dxa" w:w="1587"/>
            <w:shd w:val="clear" w:color="auto" w:fill="FFF4D6"/>
          </w:tcPr>
          <w:p>
            <w:r/>
            <w:r>
              <w:rPr>
                <w:sz w:val="19"/>
              </w:rPr>
              <w:t>A$0</w:t>
            </w:r>
          </w:p>
        </w:tc>
        <w:tc>
          <w:tcPr>
            <w:tcW w:type="dxa" w:w="2041"/>
            <w:shd w:val="clear" w:color="auto" w:fill="FFF4D6"/>
          </w:tcPr>
          <w:p>
            <w:r/>
            <w:r>
              <w:rPr>
                <w:sz w:val="19"/>
              </w:rPr>
              <w:t>A$3,200</w:t>
            </w:r>
          </w:p>
        </w:tc>
        <w:tc>
          <w:tcPr>
            <w:tcW w:type="dxa" w:w="2041"/>
            <w:shd w:val="clear" w:color="auto" w:fill="FFF4D6"/>
          </w:tcPr>
          <w:p>
            <w:r/>
            <w:r>
              <w:rPr>
                <w:sz w:val="19"/>
              </w:rPr>
              <w:t>A$0</w:t>
            </w:r>
          </w:p>
        </w:tc>
        <w:tc>
          <w:tcPr>
            <w:tcW w:type="dxa" w:w="1701"/>
            <w:shd w:val="clear" w:color="auto" w:fill="FFF4D6"/>
          </w:tcPr>
          <w:p>
            <w:r/>
            <w:r>
              <w:rPr>
                <w:sz w:val="19"/>
              </w:rPr>
              <w:t>A$3,200</w:t>
            </w:r>
          </w:p>
        </w:tc>
      </w:tr>
      <w:tr>
        <w:tc>
          <w:tcPr>
            <w:tcW w:type="dxa" w:w="2268"/>
            <w:shd w:val="clear" w:color="auto" w:fill="FFF4D6"/>
          </w:tcPr>
          <w:p>
            <w:r/>
            <w:r>
              <w:rPr>
                <w:sz w:val="19"/>
              </w:rPr>
              <w:t>Improve manual checks</w:t>
            </w:r>
          </w:p>
        </w:tc>
        <w:tc>
          <w:tcPr>
            <w:tcW w:type="dxa" w:w="1587"/>
            <w:shd w:val="clear" w:color="auto" w:fill="FFF4D6"/>
          </w:tcPr>
          <w:p>
            <w:r/>
            <w:r>
              <w:rPr>
                <w:sz w:val="19"/>
              </w:rPr>
              <w:t>A$1,000 once</w:t>
            </w:r>
          </w:p>
        </w:tc>
        <w:tc>
          <w:tcPr>
            <w:tcW w:type="dxa" w:w="2041"/>
            <w:shd w:val="clear" w:color="auto" w:fill="FFF4D6"/>
          </w:tcPr>
          <w:p>
            <w:r/>
            <w:r>
              <w:rPr>
                <w:sz w:val="19"/>
              </w:rPr>
              <w:t>A$2,700</w:t>
            </w:r>
          </w:p>
        </w:tc>
        <w:tc>
          <w:tcPr>
            <w:tcW w:type="dxa" w:w="2041"/>
            <w:shd w:val="clear" w:color="auto" w:fill="FFF4D6"/>
          </w:tcPr>
          <w:p>
            <w:r/>
            <w:r>
              <w:rPr>
                <w:sz w:val="19"/>
              </w:rPr>
              <w:t>A$0</w:t>
            </w:r>
          </w:p>
        </w:tc>
        <w:tc>
          <w:tcPr>
            <w:tcW w:type="dxa" w:w="1701"/>
            <w:shd w:val="clear" w:color="auto" w:fill="FFF4D6"/>
          </w:tcPr>
          <w:p>
            <w:r/>
            <w:r>
              <w:rPr>
                <w:sz w:val="19"/>
              </w:rPr>
              <w:t>A$2,700</w:t>
            </w:r>
          </w:p>
        </w:tc>
      </w:tr>
      <w:tr>
        <w:tc>
          <w:tcPr>
            <w:tcW w:type="dxa" w:w="2268"/>
            <w:shd w:val="clear" w:color="auto" w:fill="FFF4D6"/>
          </w:tcPr>
          <w:p>
            <w:r/>
            <w:r>
              <w:rPr>
                <w:sz w:val="19"/>
              </w:rPr>
              <w:t>Automate</w:t>
            </w:r>
          </w:p>
        </w:tc>
        <w:tc>
          <w:tcPr>
            <w:tcW w:type="dxa" w:w="1587"/>
            <w:shd w:val="clear" w:color="auto" w:fill="FFF4D6"/>
          </w:tcPr>
          <w:p>
            <w:r/>
            <w:r>
              <w:rPr>
                <w:sz w:val="19"/>
              </w:rPr>
              <w:t>A$12,000</w:t>
            </w:r>
          </w:p>
        </w:tc>
        <w:tc>
          <w:tcPr>
            <w:tcW w:type="dxa" w:w="2041"/>
            <w:shd w:val="clear" w:color="auto" w:fill="FFF4D6"/>
          </w:tcPr>
          <w:p>
            <w:r/>
            <w:r>
              <w:rPr>
                <w:sz w:val="19"/>
              </w:rPr>
              <w:t>A$200</w:t>
            </w:r>
          </w:p>
        </w:tc>
        <w:tc>
          <w:tcPr>
            <w:tcW w:type="dxa" w:w="2041"/>
            <w:shd w:val="clear" w:color="auto" w:fill="FFF4D6"/>
          </w:tcPr>
          <w:p>
            <w:r/>
            <w:r>
              <w:rPr>
                <w:sz w:val="19"/>
              </w:rPr>
              <w:t>A$1,000</w:t>
            </w:r>
          </w:p>
        </w:tc>
        <w:tc>
          <w:tcPr>
            <w:tcW w:type="dxa" w:w="1701"/>
            <w:shd w:val="clear" w:color="auto" w:fill="FFF4D6"/>
          </w:tcPr>
          <w:p>
            <w:r/>
            <w:r>
              <w:rPr>
                <w:sz w:val="19"/>
              </w:rPr>
              <w:t>A$1,200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19"/>
        </w:rPr>
        <w:t>Automate costs less each month than the other two, but it is the only option with upfront cash of A$12,000. Upfront cash is not in the monthly totals.</w:t>
      </w:r>
    </w:p>
    <w:p>
      <w:pPr>
        <w:pStyle w:val="Heading2"/>
      </w:pPr>
      <w:r>
        <w:t>3. Evidence behind each claim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26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Claim</w:t>
            </w:r>
          </w:p>
        </w:tc>
        <w:tc>
          <w:tcPr>
            <w:tcW w:type="dxa" w:w="215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Evidence</w:t>
            </w:r>
          </w:p>
        </w:tc>
        <w:tc>
          <w:tcPr>
            <w:tcW w:type="dxa" w:w="215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Source and date</w:t>
            </w:r>
          </w:p>
        </w:tc>
        <w:tc>
          <w:tcPr>
            <w:tcW w:type="dxa" w:w="164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417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Confidence</w:t>
            </w:r>
          </w:p>
        </w:tc>
      </w:tr>
      <w:tr>
        <w:tc>
          <w:tcPr>
            <w:tcW w:type="dxa" w:w="2268"/>
            <w:shd w:val="clear" w:color="auto" w:fill="FFF4D6"/>
          </w:tcPr>
          <w:p>
            <w:r/>
            <w:r>
              <w:rPr>
                <w:sz w:val="19"/>
              </w:rPr>
              <w:t>600 orders a month</w:t>
            </w:r>
          </w:p>
        </w:tc>
        <w:tc>
          <w:tcPr>
            <w:tcW w:type="dxa" w:w="2154"/>
            <w:shd w:val="clear" w:color="auto" w:fill="FFF4D6"/>
          </w:tcPr>
          <w:p>
            <w:r/>
            <w:r>
              <w:rPr>
                <w:sz w:val="19"/>
              </w:rPr>
              <w:t>Four-week order count</w:t>
            </w:r>
          </w:p>
        </w:tc>
        <w:tc>
          <w:tcPr>
            <w:tcW w:type="dxa" w:w="2154"/>
            <w:shd w:val="clear" w:color="auto" w:fill="FFF4D6"/>
          </w:tcPr>
          <w:p>
            <w:r/>
            <w:r>
              <w:rPr>
                <w:sz w:val="19"/>
              </w:rPr>
              <w:t>Sales system export, sample four weeks</w:t>
            </w:r>
          </w:p>
        </w:tc>
        <w:tc>
          <w:tcPr>
            <w:tcW w:type="dxa" w:w="1644"/>
            <w:shd w:val="clear" w:color="auto" w:fill="FFF4D6"/>
          </w:tcPr>
          <w:p>
            <w:r/>
            <w:r>
              <w:rPr>
                <w:sz w:val="19"/>
              </w:rPr>
              <w:t>Sales admin</w:t>
            </w:r>
          </w:p>
        </w:tc>
        <w:tc>
          <w:tcPr>
            <w:tcW w:type="dxa" w:w="1417"/>
            <w:shd w:val="clear" w:color="auto" w:fill="FFF4D6"/>
          </w:tcPr>
          <w:p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268"/>
            <w:shd w:val="clear" w:color="auto" w:fill="FFF4D6"/>
          </w:tcPr>
          <w:p>
            <w:r/>
            <w:r>
              <w:rPr>
                <w:sz w:val="19"/>
              </w:rPr>
              <w:t>Handling takes 80 hours a month</w:t>
            </w:r>
          </w:p>
        </w:tc>
        <w:tc>
          <w:tcPr>
            <w:tcW w:type="dxa" w:w="2154"/>
            <w:shd w:val="clear" w:color="auto" w:fill="FFF4D6"/>
          </w:tcPr>
          <w:p>
            <w:r/>
            <w:r>
              <w:rPr>
                <w:sz w:val="19"/>
              </w:rPr>
              <w:t>Four weeks of time notes</w:t>
            </w:r>
          </w:p>
        </w:tc>
        <w:tc>
          <w:tcPr>
            <w:tcW w:type="dxa" w:w="2154"/>
            <w:shd w:val="clear" w:color="auto" w:fill="FFF4D6"/>
          </w:tcPr>
          <w:p>
            <w:r/>
            <w:r>
              <w:rPr>
                <w:sz w:val="19"/>
              </w:rPr>
              <w:t>Team time notes, sample four weeks</w:t>
            </w:r>
          </w:p>
        </w:tc>
        <w:tc>
          <w:tcPr>
            <w:tcW w:type="dxa" w:w="1644"/>
            <w:shd w:val="clear" w:color="auto" w:fill="FFF4D6"/>
          </w:tcPr>
          <w:p>
            <w:r/>
            <w:r>
              <w:rPr>
                <w:sz w:val="19"/>
              </w:rPr>
              <w:t>Operations manager</w:t>
            </w:r>
          </w:p>
        </w:tc>
        <w:tc>
          <w:tcPr>
            <w:tcW w:type="dxa" w:w="1417"/>
            <w:shd w:val="clear" w:color="auto" w:fill="FFF4D6"/>
          </w:tcPr>
          <w:p>
            <w:r/>
            <w:r>
              <w:rPr>
                <w:sz w:val="19"/>
              </w:rPr>
              <w:t>Medium</w:t>
            </w:r>
          </w:p>
        </w:tc>
      </w:tr>
      <w:tr>
        <w:tc>
          <w:tcPr>
            <w:tcW w:type="dxa" w:w="2268"/>
            <w:shd w:val="clear" w:color="auto" w:fill="FFF4D6"/>
          </w:tcPr>
          <w:p>
            <w:r/>
            <w:r>
              <w:rPr>
                <w:sz w:val="19"/>
              </w:rPr>
              <w:t>Overflow support costs A$2,000 a month</w:t>
            </w:r>
          </w:p>
        </w:tc>
        <w:tc>
          <w:tcPr>
            <w:tcW w:type="dxa" w:w="2154"/>
            <w:shd w:val="clear" w:color="auto" w:fill="FFF4D6"/>
          </w:tcPr>
          <w:p>
            <w:r/>
            <w:r>
              <w:rPr>
                <w:sz w:val="19"/>
              </w:rPr>
              <w:t>Supplier invoices</w:t>
            </w:r>
          </w:p>
        </w:tc>
        <w:tc>
          <w:tcPr>
            <w:tcW w:type="dxa" w:w="2154"/>
            <w:shd w:val="clear" w:color="auto" w:fill="FFF4D6"/>
          </w:tcPr>
          <w:p>
            <w:r/>
            <w:r>
              <w:rPr>
                <w:sz w:val="19"/>
              </w:rPr>
              <w:t>Accounts payable ledger</w:t>
            </w:r>
          </w:p>
        </w:tc>
        <w:tc>
          <w:tcPr>
            <w:tcW w:type="dxa" w:w="1644"/>
            <w:shd w:val="clear" w:color="auto" w:fill="FFF4D6"/>
          </w:tcPr>
          <w:p>
            <w:r/>
            <w:r>
              <w:rPr>
                <w:sz w:val="19"/>
              </w:rPr>
              <w:t>Finance lead</w:t>
            </w:r>
          </w:p>
        </w:tc>
        <w:tc>
          <w:tcPr>
            <w:tcW w:type="dxa" w:w="1417"/>
            <w:shd w:val="clear" w:color="auto" w:fill="FFF4D6"/>
          </w:tcPr>
          <w:p>
            <w:r/>
            <w:r>
              <w:rPr>
                <w:sz w:val="19"/>
              </w:rPr>
              <w:t>High</w:t>
            </w:r>
          </w:p>
        </w:tc>
      </w:tr>
      <w:tr>
        <w:tc>
          <w:tcPr>
            <w:tcW w:type="dxa" w:w="2268"/>
            <w:shd w:val="clear" w:color="auto" w:fill="FFF4D6"/>
          </w:tcPr>
          <w:p>
            <w:r/>
            <w:r>
              <w:rPr>
                <w:sz w:val="19"/>
              </w:rPr>
              <w:t>Corrections cost A$1,200 a month</w:t>
            </w:r>
          </w:p>
        </w:tc>
        <w:tc>
          <w:tcPr>
            <w:tcW w:type="dxa" w:w="2154"/>
            <w:shd w:val="clear" w:color="auto" w:fill="FFF4D6"/>
          </w:tcPr>
          <w:p>
            <w:r/>
            <w:r>
              <w:rPr>
                <w:sz w:val="19"/>
              </w:rPr>
              <w:t>Credit notes and refunds, kept apart from staff rework</w:t>
            </w:r>
          </w:p>
        </w:tc>
        <w:tc>
          <w:tcPr>
            <w:tcW w:type="dxa" w:w="2154"/>
            <w:shd w:val="clear" w:color="auto" w:fill="FFF4D6"/>
          </w:tcPr>
          <w:p>
            <w:r/>
            <w:r>
              <w:rPr>
                <w:sz w:val="19"/>
              </w:rPr>
              <w:t>Ledger, sample four weeks</w:t>
            </w:r>
          </w:p>
        </w:tc>
        <w:tc>
          <w:tcPr>
            <w:tcW w:type="dxa" w:w="1644"/>
            <w:shd w:val="clear" w:color="auto" w:fill="FFF4D6"/>
          </w:tcPr>
          <w:p>
            <w:r/>
            <w:r>
              <w:rPr>
                <w:sz w:val="19"/>
              </w:rPr>
              <w:t>Finance lead</w:t>
            </w:r>
          </w:p>
        </w:tc>
        <w:tc>
          <w:tcPr>
            <w:tcW w:type="dxa" w:w="1417"/>
            <w:shd w:val="clear" w:color="auto" w:fill="FFF4D6"/>
          </w:tcPr>
          <w:p>
            <w:r/>
            <w:r>
              <w:rPr>
                <w:sz w:val="19"/>
              </w:rPr>
              <w:t>Medium</w:t>
            </w:r>
          </w:p>
        </w:tc>
      </w:tr>
      <w:tr>
        <w:tc>
          <w:tcPr>
            <w:tcW w:type="dxa" w:w="2268"/>
            <w:shd w:val="clear" w:color="auto" w:fill="FFF4D6"/>
          </w:tcPr>
          <w:p>
            <w:r/>
            <w:r>
              <w:rPr>
                <w:sz w:val="19"/>
              </w:rPr>
              <w:t>The overflow contract can end</w:t>
            </w:r>
          </w:p>
        </w:tc>
        <w:tc>
          <w:tcPr>
            <w:tcW w:type="dxa" w:w="2154"/>
            <w:shd w:val="clear" w:color="auto" w:fill="FFF4D6"/>
          </w:tcPr>
          <w:p>
            <w:r/>
            <w:r>
              <w:rPr>
                <w:sz w:val="19"/>
              </w:rPr>
              <w:t>Contract notice terms</w:t>
            </w:r>
          </w:p>
        </w:tc>
        <w:tc>
          <w:tcPr>
            <w:tcW w:type="dxa" w:w="2154"/>
            <w:shd w:val="clear" w:color="auto" w:fill="FFF4D6"/>
          </w:tcPr>
          <w:p>
            <w:r/>
            <w:r>
              <w:rPr>
                <w:sz w:val="19"/>
              </w:rPr>
              <w:t>Not yet confirmed</w:t>
            </w:r>
          </w:p>
        </w:tc>
        <w:tc>
          <w:tcPr>
            <w:tcW w:type="dxa" w:w="1644"/>
            <w:shd w:val="clear" w:color="auto" w:fill="FFF4D6"/>
          </w:tcPr>
          <w:p>
            <w:r/>
            <w:r>
              <w:rPr>
                <w:sz w:val="19"/>
              </w:rPr>
              <w:t>Finance lead</w:t>
            </w:r>
          </w:p>
        </w:tc>
        <w:tc>
          <w:tcPr>
            <w:tcW w:type="dxa" w:w="1417"/>
            <w:shd w:val="clear" w:color="auto" w:fill="FFF4D6"/>
          </w:tcPr>
          <w:p>
            <w:r/>
            <w:r>
              <w:rPr>
                <w:sz w:val="19"/>
              </w:rPr>
              <w:t>Low</w:t>
            </w:r>
          </w:p>
        </w:tc>
      </w:tr>
    </w:tbl>
    <w:p>
      <w:pPr>
        <w:spacing w:after="40"/>
      </w:pPr>
    </w:p>
    <w:p>
      <w:pPr>
        <w:pStyle w:val="Heading2"/>
      </w:pPr>
      <w:r>
        <w:t>4. Hours and cash, apart</w:t>
      </w:r>
    </w:p>
    <w:p>
      <w:pPr>
        <w:spacing w:after="40"/>
      </w:pPr>
      <w:r>
        <w:rPr>
          <w:b/>
          <w:i w:val="0"/>
        </w:rPr>
        <w:t>Hours (capacity, not cash)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Line</w:t>
            </w:r>
          </w:p>
        </w:tc>
        <w:tc>
          <w:tcPr>
            <w:tcW w:type="dxa" w:w="4819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Hours</w:t>
            </w:r>
          </w:p>
        </w:tc>
      </w:tr>
      <w:tr>
        <w:tc>
          <w:tcPr>
            <w:tcW w:type="dxa" w:w="4819"/>
            <w:shd w:val="clear" w:color="auto" w:fill="FFF4D6"/>
          </w:tcPr>
          <w:p>
            <w:r/>
            <w:r>
              <w:rPr>
                <w:sz w:val="19"/>
              </w:rPr>
              <w:t>Handling hours a month now</w:t>
            </w:r>
          </w:p>
        </w:tc>
        <w:tc>
          <w:tcPr>
            <w:tcW w:type="dxa" w:w="4819"/>
            <w:shd w:val="clear" w:color="auto" w:fill="FFF4D6"/>
          </w:tcPr>
          <w:p>
            <w:r/>
            <w:r>
              <w:rPr>
                <w:sz w:val="19"/>
              </w:rPr>
              <w:t>80</w:t>
            </w:r>
          </w:p>
        </w:tc>
      </w:tr>
      <w:tr>
        <w:tc>
          <w:tcPr>
            <w:tcW w:type="dxa" w:w="4819"/>
            <w:shd w:val="clear" w:color="auto" w:fill="FFF4D6"/>
          </w:tcPr>
          <w:p>
            <w:r/>
            <w:r>
              <w:rPr>
                <w:sz w:val="19"/>
              </w:rPr>
              <w:t>Handling hours a month proposed</w:t>
            </w:r>
          </w:p>
        </w:tc>
        <w:tc>
          <w:tcPr>
            <w:tcW w:type="dxa" w:w="4819"/>
            <w:shd w:val="clear" w:color="auto" w:fill="FFF4D6"/>
          </w:tcPr>
          <w:p>
            <w:r/>
            <w:r>
              <w:rPr>
                <w:sz w:val="19"/>
              </w:rPr>
              <w:t>30</w:t>
            </w:r>
          </w:p>
        </w:tc>
      </w:tr>
      <w:tr>
        <w:tc>
          <w:tcPr>
            <w:tcW w:type="dxa" w:w="4819"/>
            <w:shd w:val="clear" w:color="auto" w:fill="FFF4D6"/>
          </w:tcPr>
          <w:p>
            <w:r/>
            <w:r>
              <w:rPr>
                <w:sz w:val="19"/>
              </w:rPr>
              <w:t>Hours released a month</w:t>
            </w:r>
          </w:p>
        </w:tc>
        <w:tc>
          <w:tcPr>
            <w:tcW w:type="dxa" w:w="4819"/>
            <w:shd w:val="clear" w:color="auto" w:fill="FFF4D6"/>
          </w:tcPr>
          <w:p>
            <w:r/>
            <w:r>
              <w:rPr>
                <w:sz w:val="19"/>
              </w:rPr>
              <w:t>50 (80 less 30)</w:t>
            </w:r>
          </w:p>
        </w:tc>
      </w:tr>
      <w:tr>
        <w:tc>
          <w:tcPr>
            <w:tcW w:type="dxa" w:w="4819"/>
            <w:shd w:val="clear" w:color="auto" w:fill="FFF4D6"/>
          </w:tcPr>
          <w:p>
            <w:r/>
            <w:r>
              <w:rPr>
                <w:sz w:val="19"/>
              </w:rPr>
              <w:t>Implementation time from existing staff</w:t>
            </w:r>
          </w:p>
        </w:tc>
        <w:tc>
          <w:tcPr>
            <w:tcW w:type="dxa" w:w="4819"/>
            <w:shd w:val="clear" w:color="auto" w:fill="FFF4D6"/>
          </w:tcPr>
          <w:p>
            <w:r/>
            <w:r>
              <w:rPr>
                <w:sz w:val="19"/>
              </w:rPr>
              <w:t>40 hours once; no extra cash assumed</w:t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Cash (dollars)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62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Line</w:t>
            </w:r>
          </w:p>
        </w:tc>
        <w:tc>
          <w:tcPr>
            <w:tcW w:type="dxa" w:w="3402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Base case</w:t>
            </w:r>
          </w:p>
        </w:tc>
        <w:tc>
          <w:tcPr>
            <w:tcW w:type="dxa" w:w="260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Downside (benefit halved)</w:t>
            </w:r>
          </w:p>
        </w:tc>
      </w:tr>
      <w:tr>
        <w:tc>
          <w:tcPr>
            <w:tcW w:type="dxa" w:w="3628"/>
            <w:shd w:val="clear" w:color="auto" w:fill="FFF4D6"/>
          </w:tcPr>
          <w:p>
            <w:r/>
            <w:r>
              <w:rPr>
                <w:sz w:val="19"/>
              </w:rPr>
              <w:t>Upfront cash (implementation and training)</w:t>
            </w:r>
          </w:p>
        </w:tc>
        <w:tc>
          <w:tcPr>
            <w:tcW w:type="dxa" w:w="3402"/>
            <w:shd w:val="clear" w:color="auto" w:fill="FFF4D6"/>
          </w:tcPr>
          <w:p>
            <w:r/>
            <w:r>
              <w:rPr>
                <w:sz w:val="19"/>
              </w:rPr>
              <w:t>A$12,000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A$12,000</w:t>
            </w:r>
          </w:p>
        </w:tc>
      </w:tr>
      <w:tr>
        <w:tc>
          <w:tcPr>
            <w:tcW w:type="dxa" w:w="3628"/>
            <w:shd w:val="clear" w:color="auto" w:fill="FFF4D6"/>
          </w:tcPr>
          <w:p>
            <w:r/>
            <w:r>
              <w:rPr>
                <w:sz w:val="19"/>
              </w:rPr>
              <w:t>Gross cash benefit a month</w:t>
            </w:r>
          </w:p>
        </w:tc>
        <w:tc>
          <w:tcPr>
            <w:tcW w:type="dxa" w:w="3402"/>
            <w:shd w:val="clear" w:color="auto" w:fill="FFF4D6"/>
          </w:tcPr>
          <w:p>
            <w:r/>
            <w:r>
              <w:rPr>
                <w:sz w:val="19"/>
              </w:rPr>
              <w:t>A$3,000 (A$2,000 overflow ended, A$1,000 fewer corrections)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A$1,500</w:t>
            </w:r>
          </w:p>
        </w:tc>
      </w:tr>
      <w:tr>
        <w:tc>
          <w:tcPr>
            <w:tcW w:type="dxa" w:w="3628"/>
            <w:shd w:val="clear" w:color="auto" w:fill="FFF4D6"/>
          </w:tcPr>
          <w:p>
            <w:r/>
            <w:r>
              <w:rPr>
                <w:sz w:val="19"/>
              </w:rPr>
              <w:t>Software a month</w:t>
            </w:r>
          </w:p>
        </w:tc>
        <w:tc>
          <w:tcPr>
            <w:tcW w:type="dxa" w:w="3402"/>
            <w:shd w:val="clear" w:color="auto" w:fill="FFF4D6"/>
          </w:tcPr>
          <w:p>
            <w:r/>
            <w:r>
              <w:rPr>
                <w:sz w:val="19"/>
              </w:rPr>
              <w:t>A$300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A$300</w:t>
            </w:r>
          </w:p>
        </w:tc>
      </w:tr>
      <w:tr>
        <w:tc>
          <w:tcPr>
            <w:tcW w:type="dxa" w:w="3628"/>
            <w:shd w:val="clear" w:color="auto" w:fill="FFF4D6"/>
          </w:tcPr>
          <w:p>
            <w:r/>
            <w:r>
              <w:rPr>
                <w:sz w:val="19"/>
              </w:rPr>
              <w:t>Other running costs a month</w:t>
            </w:r>
          </w:p>
        </w:tc>
        <w:tc>
          <w:tcPr>
            <w:tcW w:type="dxa" w:w="3402"/>
            <w:shd w:val="clear" w:color="auto" w:fill="FFF4D6"/>
          </w:tcPr>
          <w:p>
            <w:r/>
            <w:r>
              <w:rPr>
                <w:sz w:val="19"/>
              </w:rPr>
              <w:t>A$700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A$700</w:t>
            </w:r>
          </w:p>
        </w:tc>
      </w:tr>
      <w:tr>
        <w:tc>
          <w:tcPr>
            <w:tcW w:type="dxa" w:w="3628"/>
            <w:shd w:val="clear" w:color="auto" w:fill="FFF4D6"/>
          </w:tcPr>
          <w:p>
            <w:r/>
            <w:r>
              <w:rPr>
                <w:sz w:val="19"/>
              </w:rPr>
              <w:t>Net cash benefit a month</w:t>
            </w:r>
          </w:p>
        </w:tc>
        <w:tc>
          <w:tcPr>
            <w:tcW w:type="dxa" w:w="3402"/>
            <w:shd w:val="clear" w:color="auto" w:fill="FFF4D6"/>
          </w:tcPr>
          <w:p>
            <w:r/>
            <w:r>
              <w:rPr>
                <w:sz w:val="19"/>
              </w:rPr>
              <w:t>A$2,000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A$500</w:t>
            </w:r>
          </w:p>
        </w:tc>
      </w:tr>
      <w:tr>
        <w:tc>
          <w:tcPr>
            <w:tcW w:type="dxa" w:w="3628"/>
            <w:shd w:val="clear" w:color="auto" w:fill="FFF4D6"/>
          </w:tcPr>
          <w:p>
            <w:r/>
            <w:r>
              <w:rPr>
                <w:sz w:val="19"/>
              </w:rPr>
              <w:t>Simple payback after go-live</w:t>
            </w:r>
          </w:p>
        </w:tc>
        <w:tc>
          <w:tcPr>
            <w:tcW w:type="dxa" w:w="3402"/>
            <w:shd w:val="clear" w:color="auto" w:fill="FFF4D6"/>
          </w:tcPr>
          <w:p>
            <w:r/>
            <w:r>
              <w:rPr>
                <w:sz w:val="19"/>
              </w:rPr>
              <w:t>6 months (A$12,000 divided by A$2,000)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24 months (A$12,000 divided by A$500)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19"/>
        </w:rPr>
        <w:t>Simple payback ignores discounting, financing and tax. For a decision that runs several years, add the years with the net present value calculator in the article.</w:t>
      </w:r>
    </w:p>
    <w:p>
      <w:pPr>
        <w:pStyle w:val="Heading2"/>
      </w:pPr>
      <w:r>
        <w:t>5. Risks and control conditions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Test</w:t>
            </w:r>
          </w:p>
        </w:tc>
        <w:tc>
          <w:tcPr>
            <w:tcW w:type="dxa" w:w="294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Evidence required</w:t>
            </w:r>
          </w:p>
        </w:tc>
        <w:tc>
          <w:tcPr>
            <w:tcW w:type="dxa" w:w="238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Sample result</w:t>
            </w:r>
          </w:p>
        </w:tc>
        <w:tc>
          <w:tcPr>
            <w:tcW w:type="dxa" w:w="260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1701"/>
            <w:shd w:val="clear" w:color="auto" w:fill="FFF4D6"/>
          </w:tcPr>
          <w:p>
            <w:r/>
            <w:r>
              <w:rPr>
                <w:sz w:val="19"/>
              </w:rPr>
              <w:t>Volume</w:t>
            </w:r>
          </w:p>
        </w:tc>
        <w:tc>
          <w:tcPr>
            <w:tcW w:type="dxa" w:w="2948"/>
            <w:shd w:val="clear" w:color="auto" w:fill="FFF4D6"/>
          </w:tcPr>
          <w:p>
            <w:r/>
            <w:r>
              <w:rPr>
                <w:sz w:val="19"/>
              </w:rPr>
              <w:t>Four-week baseline</w:t>
            </w:r>
          </w:p>
        </w:tc>
        <w:tc>
          <w:tcPr>
            <w:tcW w:type="dxa" w:w="2381"/>
            <w:shd w:val="clear" w:color="auto" w:fill="FFF4D6"/>
          </w:tcPr>
          <w:p>
            <w:r/>
            <w:r>
              <w:rPr>
                <w:sz w:val="19"/>
              </w:rPr>
              <w:t>Pass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Operations manager</w:t>
            </w:r>
          </w:p>
        </w:tc>
      </w:tr>
      <w:tr>
        <w:tc>
          <w:tcPr>
            <w:tcW w:type="dxa" w:w="1701"/>
            <w:shd w:val="clear" w:color="auto" w:fill="FFF4D6"/>
          </w:tcPr>
          <w:p>
            <w:r/>
            <w:r>
              <w:rPr>
                <w:sz w:val="19"/>
              </w:rPr>
              <w:t>Error cost</w:t>
            </w:r>
          </w:p>
        </w:tc>
        <w:tc>
          <w:tcPr>
            <w:tcW w:type="dxa" w:w="2948"/>
            <w:shd w:val="clear" w:color="auto" w:fill="FFF4D6"/>
          </w:tcPr>
          <w:p>
            <w:r/>
            <w:r>
              <w:rPr>
                <w:sz w:val="19"/>
              </w:rPr>
              <w:t>Documented avoidable losses</w:t>
            </w:r>
          </w:p>
        </w:tc>
        <w:tc>
          <w:tcPr>
            <w:tcW w:type="dxa" w:w="2381"/>
            <w:shd w:val="clear" w:color="auto" w:fill="FFF4D6"/>
          </w:tcPr>
          <w:p>
            <w:r/>
            <w:r>
              <w:rPr>
                <w:sz w:val="19"/>
              </w:rPr>
              <w:t>Pass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Finance lead</w:t>
            </w:r>
          </w:p>
        </w:tc>
      </w:tr>
      <w:tr>
        <w:tc>
          <w:tcPr>
            <w:tcW w:type="dxa" w:w="1701"/>
            <w:shd w:val="clear" w:color="auto" w:fill="FFF4D6"/>
          </w:tcPr>
          <w:p>
            <w:r/>
            <w:r>
              <w:rPr>
                <w:sz w:val="19"/>
              </w:rPr>
              <w:t>Control risk</w:t>
            </w:r>
          </w:p>
        </w:tc>
        <w:tc>
          <w:tcPr>
            <w:tcW w:type="dxa" w:w="2948"/>
            <w:shd w:val="clear" w:color="auto" w:fill="FFF4D6"/>
          </w:tcPr>
          <w:p>
            <w:r/>
            <w:r>
              <w:rPr>
                <w:sz w:val="19"/>
              </w:rPr>
              <w:t>Stop and recovery demonstrated</w:t>
            </w:r>
          </w:p>
        </w:tc>
        <w:tc>
          <w:tcPr>
            <w:tcW w:type="dxa" w:w="2381"/>
            <w:shd w:val="clear" w:color="auto" w:fill="FFF4D6"/>
          </w:tcPr>
          <w:p>
            <w:r/>
            <w:r>
              <w:rPr>
                <w:sz w:val="19"/>
              </w:rPr>
              <w:t>FAIL: not yet shown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Builder, shown to the operations manager</w:t>
            </w:r>
          </w:p>
        </w:tc>
      </w:tr>
      <w:tr>
        <w:tc>
          <w:tcPr>
            <w:tcW w:type="dxa" w:w="1701"/>
            <w:shd w:val="clear" w:color="auto" w:fill="FFF4D6"/>
          </w:tcPr>
          <w:p>
            <w:r/>
            <w:r>
              <w:rPr>
                <w:sz w:val="19"/>
              </w:rPr>
              <w:t>Payback</w:t>
            </w:r>
          </w:p>
        </w:tc>
        <w:tc>
          <w:tcPr>
            <w:tcW w:type="dxa" w:w="2948"/>
            <w:shd w:val="clear" w:color="auto" w:fill="FFF4D6"/>
          </w:tcPr>
          <w:p>
            <w:r/>
            <w:r>
              <w:rPr>
                <w:sz w:val="19"/>
              </w:rPr>
              <w:t>Cash case with running costs</w:t>
            </w:r>
          </w:p>
        </w:tc>
        <w:tc>
          <w:tcPr>
            <w:tcW w:type="dxa" w:w="2381"/>
            <w:shd w:val="clear" w:color="auto" w:fill="FFF4D6"/>
          </w:tcPr>
          <w:p>
            <w:r/>
            <w:r>
              <w:rPr>
                <w:sz w:val="19"/>
              </w:rPr>
              <w:t>Pass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Finance lead</w:t>
            </w:r>
          </w:p>
        </w:tc>
      </w:tr>
      <w:tr>
        <w:tc>
          <w:tcPr>
            <w:tcW w:type="dxa" w:w="1701"/>
            <w:shd w:val="clear" w:color="auto" w:fill="FFF4D6"/>
          </w:tcPr>
          <w:p>
            <w:r/>
            <w:r>
              <w:rPr>
                <w:sz w:val="19"/>
              </w:rPr>
              <w:t>Doing nothing</w:t>
            </w:r>
          </w:p>
        </w:tc>
        <w:tc>
          <w:tcPr>
            <w:tcW w:type="dxa" w:w="2948"/>
            <w:shd w:val="clear" w:color="auto" w:fill="FFF4D6"/>
          </w:tcPr>
          <w:p>
            <w:r/>
            <w:r>
              <w:rPr>
                <w:sz w:val="19"/>
              </w:rPr>
              <w:t>Costed alternative</w:t>
            </w:r>
          </w:p>
        </w:tc>
        <w:tc>
          <w:tcPr>
            <w:tcW w:type="dxa" w:w="2381"/>
            <w:shd w:val="clear" w:color="auto" w:fill="FFF4D6"/>
          </w:tcPr>
          <w:p>
            <w:r/>
            <w:r>
              <w:rPr>
                <w:sz w:val="19"/>
              </w:rPr>
              <w:t>Pass</w:t>
            </w:r>
          </w:p>
        </w:tc>
        <w:tc>
          <w:tcPr>
            <w:tcW w:type="dxa" w:w="2608"/>
            <w:shd w:val="clear" w:color="auto" w:fill="FFF4D6"/>
          </w:tcPr>
          <w:p>
            <w:r/>
            <w:r>
              <w:rPr>
                <w:sz w:val="19"/>
              </w:rPr>
              <w:t>Finance lead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19"/>
        </w:rPr>
        <w:t>The failed-gate example: four of five tests pass and the one failed control still stops the approval. A good base case does not outweigh a control that has not been shown to work.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49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36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Likelihood</w:t>
            </w:r>
          </w:p>
        </w:tc>
        <w:tc>
          <w:tcPr>
            <w:tcW w:type="dxa" w:w="204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Consequence</w:t>
            </w:r>
          </w:p>
        </w:tc>
        <w:tc>
          <w:tcPr>
            <w:tcW w:type="dxa" w:w="226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Control</w:t>
            </w:r>
          </w:p>
        </w:tc>
        <w:tc>
          <w:tcPr>
            <w:tcW w:type="dxa" w:w="147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Responsible</w:t>
            </w:r>
          </w:p>
        </w:tc>
      </w:tr>
      <w:tr>
        <w:tc>
          <w:tcPr>
            <w:tcW w:type="dxa" w:w="2494"/>
            <w:shd w:val="clear" w:color="auto" w:fill="FFF4D6"/>
          </w:tcPr>
          <w:p>
            <w:r/>
            <w:r>
              <w:rPr>
                <w:sz w:val="19"/>
              </w:rPr>
              <w:t>An order is sent twice to the same customer</w:t>
            </w:r>
          </w:p>
        </w:tc>
        <w:tc>
          <w:tcPr>
            <w:tcW w:type="dxa" w:w="1361"/>
            <w:shd w:val="clear" w:color="auto" w:fill="FFF4D6"/>
          </w:tcPr>
          <w:p>
            <w:r/>
            <w:r>
              <w:rPr>
                <w:sz w:val="19"/>
              </w:rPr>
              <w:t>Medium (sample)</w:t>
            </w:r>
          </w:p>
        </w:tc>
        <w:tc>
          <w:tcPr>
            <w:tcW w:type="dxa" w:w="2041"/>
            <w:shd w:val="clear" w:color="auto" w:fill="FFF4D6"/>
          </w:tcPr>
          <w:p>
            <w:r/>
            <w:r>
              <w:rPr>
                <w:sz w:val="19"/>
              </w:rPr>
              <w:t>A refund and a lost customer</w:t>
            </w:r>
          </w:p>
        </w:tc>
        <w:tc>
          <w:tcPr>
            <w:tcW w:type="dxa" w:w="2268"/>
            <w:shd w:val="clear" w:color="auto" w:fill="FFF4D6"/>
          </w:tcPr>
          <w:p>
            <w:r/>
            <w:r>
              <w:rPr>
                <w:sz w:val="19"/>
              </w:rPr>
              <w:t>Duplicate check before send; stop and recovery shown</w:t>
            </w:r>
          </w:p>
        </w:tc>
        <w:tc>
          <w:tcPr>
            <w:tcW w:type="dxa" w:w="1474"/>
            <w:shd w:val="clear" w:color="auto" w:fill="FFF4D6"/>
          </w:tcPr>
          <w:p>
            <w:r/>
            <w:r>
              <w:rPr>
                <w:sz w:val="19"/>
              </w:rPr>
              <w:t>Builder; operations manager</w:t>
            </w:r>
          </w:p>
        </w:tc>
      </w:tr>
      <w:tr>
        <w:tc>
          <w:tcPr>
            <w:tcW w:type="dxa" w:w="2494"/>
            <w:shd w:val="clear" w:color="auto" w:fill="FFF4D6"/>
          </w:tcPr>
          <w:p>
            <w:r/>
            <w:r>
              <w:rPr>
                <w:sz w:val="19"/>
              </w:rPr>
              <w:t>The overflow contract does not end</w:t>
            </w:r>
          </w:p>
        </w:tc>
        <w:tc>
          <w:tcPr>
            <w:tcW w:type="dxa" w:w="1361"/>
            <w:shd w:val="clear" w:color="auto" w:fill="FFF4D6"/>
          </w:tcPr>
          <w:p>
            <w:r/>
            <w:r>
              <w:rPr>
                <w:sz w:val="19"/>
              </w:rPr>
              <w:t>Low (sample)</w:t>
            </w:r>
          </w:p>
        </w:tc>
        <w:tc>
          <w:tcPr>
            <w:tcW w:type="dxa" w:w="2041"/>
            <w:shd w:val="clear" w:color="auto" w:fill="FFF4D6"/>
          </w:tcPr>
          <w:p>
            <w:r/>
            <w:r>
              <w:rPr>
                <w:sz w:val="19"/>
              </w:rPr>
              <w:t>The cash benefit falls by A$2,000 a month</w:t>
            </w:r>
          </w:p>
        </w:tc>
        <w:tc>
          <w:tcPr>
            <w:tcW w:type="dxa" w:w="2268"/>
            <w:shd w:val="clear" w:color="auto" w:fill="FFF4D6"/>
          </w:tcPr>
          <w:p>
            <w:r/>
            <w:r>
              <w:rPr>
                <w:sz w:val="19"/>
              </w:rPr>
              <w:t>Written notice terms confirmed</w:t>
            </w:r>
          </w:p>
        </w:tc>
        <w:tc>
          <w:tcPr>
            <w:tcW w:type="dxa" w:w="1474"/>
            <w:shd w:val="clear" w:color="auto" w:fill="FFF4D6"/>
          </w:tcPr>
          <w:p>
            <w:r/>
            <w:r>
              <w:rPr>
                <w:sz w:val="19"/>
              </w:rPr>
              <w:t>Finance lead</w:t>
            </w:r>
          </w:p>
        </w:tc>
      </w:tr>
    </w:tbl>
    <w:p>
      <w:pPr>
        <w:spacing w:after="40"/>
      </w:pPr>
    </w:p>
    <w:p>
      <w:pPr>
        <w:pStyle w:val="Heading2"/>
      </w:pPr>
      <w:r>
        <w:t>6. Proposed resolution and sign-off</w:t>
      </w:r>
    </w:p>
    <w:p>
      <w:pPr>
        <w:spacing w:after="80"/>
      </w:pPr>
      <w:r>
        <w:rPr>
          <w:b w:val="0"/>
          <w:i w:val="0"/>
        </w:rPr>
        <w:t>That the board defers rollout of the sample automation. Management is to show a tested stop-and-recovery path and confirmation that overflow spending can end, within 30 days. The board decides again at its next meeting. The present process continues meanwhile. (Sample wording.)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55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311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198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Signed</w:t>
            </w:r>
          </w:p>
        </w:tc>
        <w:tc>
          <w:tcPr>
            <w:tcW w:type="dxa" w:w="198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Date</w:t>
            </w:r>
          </w:p>
        </w:tc>
      </w:tr>
      <w:tr>
        <w:tc>
          <w:tcPr>
            <w:tcW w:type="dxa" w:w="2551"/>
            <w:shd w:val="clear" w:color="auto" w:fill="FFF4D6"/>
          </w:tcPr>
          <w:p>
            <w:r/>
            <w:r>
              <w:rPr>
                <w:sz w:val="19"/>
              </w:rPr>
              <w:t>Chair (sample)</w:t>
            </w:r>
          </w:p>
        </w:tc>
        <w:tc>
          <w:tcPr>
            <w:tcW w:type="dxa" w:w="3118"/>
            <w:shd w:val="clear" w:color="auto" w:fill="FFF4D6"/>
          </w:tcPr>
          <w:p>
            <w:r/>
            <w:r>
              <w:rPr>
                <w:sz w:val="19"/>
              </w:rPr>
              <w:t>Sample name</w:t>
            </w:r>
          </w:p>
        </w:tc>
        <w:tc>
          <w:tcPr>
            <w:tcW w:type="dxa" w:w="1984"/>
            <w:shd w:val="clear" w:color="auto" w:fill="FFF4D6"/>
          </w:tcPr>
          <w:p>
            <w:r/>
            <w:r>
              <w:rPr>
                <w:sz w:val="19"/>
              </w:rPr>
              <w:t>Sample</w:t>
            </w:r>
          </w:p>
        </w:tc>
        <w:tc>
          <w:tcPr>
            <w:tcW w:type="dxa" w:w="1984"/>
            <w:shd w:val="clear" w:color="auto" w:fill="FFF4D6"/>
          </w:tcPr>
          <w:p>
            <w:r/>
            <w:r>
              <w:rPr>
                <w:sz w:val="19"/>
              </w:rPr>
              <w:t>Sample date</w:t>
            </w:r>
          </w:p>
        </w:tc>
      </w:tr>
      <w:tr>
        <w:tc>
          <w:tcPr>
            <w:tcW w:type="dxa" w:w="2551"/>
            <w:shd w:val="clear" w:color="auto" w:fill="FFF4D6"/>
          </w:tcPr>
          <w:p>
            <w:r/>
            <w:r>
              <w:rPr>
                <w:sz w:val="19"/>
              </w:rPr>
              <w:t>Sponsor (sample)</w:t>
            </w:r>
          </w:p>
        </w:tc>
        <w:tc>
          <w:tcPr>
            <w:tcW w:type="dxa" w:w="3118"/>
            <w:shd w:val="clear" w:color="auto" w:fill="FFF4D6"/>
          </w:tcPr>
          <w:p>
            <w:r/>
            <w:r>
              <w:rPr>
                <w:sz w:val="19"/>
              </w:rPr>
              <w:t>Sample name</w:t>
            </w:r>
          </w:p>
        </w:tc>
        <w:tc>
          <w:tcPr>
            <w:tcW w:type="dxa" w:w="1984"/>
            <w:shd w:val="clear" w:color="auto" w:fill="FFF4D6"/>
          </w:tcPr>
          <w:p>
            <w:r/>
            <w:r>
              <w:rPr>
                <w:sz w:val="19"/>
              </w:rPr>
              <w:t>Sample</w:t>
            </w:r>
          </w:p>
        </w:tc>
        <w:tc>
          <w:tcPr>
            <w:tcW w:type="dxa" w:w="1984"/>
            <w:shd w:val="clear" w:color="auto" w:fill="FFF4D6"/>
          </w:tcPr>
          <w:p>
            <w:r/>
            <w:r>
              <w:rPr>
                <w:sz w:val="19"/>
              </w:rPr>
              <w:t>Sample date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sz w:val="19"/>
        </w:rPr>
        <w:t>Outcome options: decline (no credible benefit, or unacceptable residual risk), defer (missing evidence a bounded test can resolve) or approve (evidence, controls and funding conditions met).</w:t>
      </w:r>
    </w:p>
    <w:p>
      <w:r>
        <w:br w:type="page"/>
      </w:r>
    </w:p>
    <w:p>
      <w:pPr>
        <w:pStyle w:val="Heading1"/>
      </w:pPr>
      <w:r>
        <w:t>Part B: blank paper</w:t>
      </w:r>
    </w:p>
    <w:p>
      <w:pPr>
        <w:spacing w:after="80"/>
      </w:pPr>
      <w:r>
        <w:rPr>
          <w:b w:val="0"/>
          <w:i/>
          <w:color w:val="555555"/>
        </w:rPr>
        <w:t>Your proposal. Write amounts in A$ and say whether they include or exclude GST. Delete the grey guidance lines when you are done.</w:t>
      </w:r>
    </w:p>
    <w:p>
      <w:pPr>
        <w:pStyle w:val="Heading2"/>
      </w:pPr>
      <w:r>
        <w:t>1. Decision sought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255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Field</w:t>
            </w:r>
          </w:p>
        </w:tc>
        <w:tc>
          <w:tcPr>
            <w:tcW w:type="dxa" w:w="7087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Entry</w:t>
            </w:r>
          </w:p>
        </w:tc>
      </w:tr>
      <w:tr>
        <w:tc>
          <w:tcPr>
            <w:tcW w:type="dxa" w:w="2551"/>
            <w:shd w:val="clear" w:color="auto" w:fill="F1F5F9"/>
          </w:tcPr>
          <w:p>
            <w:r/>
            <w:r>
              <w:rPr>
                <w:sz w:val="19"/>
              </w:rPr>
              <w:t>Decision sought</w:t>
            </w:r>
          </w:p>
        </w:tc>
        <w:tc>
          <w:tcPr>
            <w:tcW w:type="dxa" w:w="708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551"/>
            <w:shd w:val="clear" w:color="auto" w:fill="F1F5F9"/>
          </w:tcPr>
          <w:p>
            <w:r/>
            <w:r>
              <w:rPr>
                <w:sz w:val="19"/>
              </w:rPr>
              <w:t>Decision maker</w:t>
            </w:r>
          </w:p>
        </w:tc>
        <w:tc>
          <w:tcPr>
            <w:tcW w:type="dxa" w:w="708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551"/>
            <w:shd w:val="clear" w:color="auto" w:fill="F1F5F9"/>
          </w:tcPr>
          <w:p>
            <w:r/>
            <w:r>
              <w:rPr>
                <w:sz w:val="19"/>
              </w:rPr>
              <w:t>Sponsor (role)</w:t>
            </w:r>
          </w:p>
        </w:tc>
        <w:tc>
          <w:tcPr>
            <w:tcW w:type="dxa" w:w="708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551"/>
            <w:shd w:val="clear" w:color="auto" w:fill="F1F5F9"/>
          </w:tcPr>
          <w:p>
            <w:r/>
            <w:r>
              <w:rPr>
                <w:sz w:val="19"/>
              </w:rPr>
              <w:t>Meeting date</w:t>
            </w:r>
          </w:p>
        </w:tc>
        <w:tc>
          <w:tcPr>
            <w:tcW w:type="dxa" w:w="708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551"/>
            <w:shd w:val="clear" w:color="auto" w:fill="F1F5F9"/>
          </w:tcPr>
          <w:p>
            <w:r/>
            <w:r>
              <w:rPr>
                <w:sz w:val="19"/>
              </w:rPr>
              <w:t>Review date</w:t>
            </w:r>
          </w:p>
        </w:tc>
        <w:tc>
          <w:tcPr>
            <w:tcW w:type="dxa" w:w="708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2. Options, including doing nothing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26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Option</w:t>
            </w:r>
          </w:p>
        </w:tc>
        <w:tc>
          <w:tcPr>
            <w:tcW w:type="dxa" w:w="1587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Upfront cash</w:t>
            </w:r>
          </w:p>
        </w:tc>
        <w:tc>
          <w:tcPr>
            <w:tcW w:type="dxa" w:w="204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Overflow and corrections a month</w:t>
            </w:r>
          </w:p>
        </w:tc>
        <w:tc>
          <w:tcPr>
            <w:tcW w:type="dxa" w:w="204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Software and running a month</w:t>
            </w:r>
          </w:p>
        </w:tc>
        <w:tc>
          <w:tcPr>
            <w:tcW w:type="dxa" w:w="170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Total a month</w:t>
            </w:r>
          </w:p>
        </w:tc>
      </w:tr>
      <w:tr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  <w:t>Continue as now</w:t>
            </w:r>
          </w:p>
        </w:tc>
        <w:tc>
          <w:tcPr>
            <w:tcW w:type="dxa" w:w="158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  <w:t>A smaller change (manual checks, or a setting in software you already own)</w:t>
            </w:r>
          </w:p>
        </w:tc>
        <w:tc>
          <w:tcPr>
            <w:tcW w:type="dxa" w:w="158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  <w:t>Automate</w:t>
            </w:r>
          </w:p>
        </w:tc>
        <w:tc>
          <w:tcPr>
            <w:tcW w:type="dxa" w:w="158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70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color w:val="555555"/>
          <w:sz w:val="19"/>
        </w:rPr>
        <w:t>Price a smaller change before you price a build. Upfront cash is not in the monthly totals.</w:t>
      </w:r>
    </w:p>
    <w:p>
      <w:pPr>
        <w:pStyle w:val="Heading2"/>
      </w:pPr>
      <w:r>
        <w:t>3. Evidence behind each claim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26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Claim</w:t>
            </w:r>
          </w:p>
        </w:tc>
        <w:tc>
          <w:tcPr>
            <w:tcW w:type="dxa" w:w="215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Evidence</w:t>
            </w:r>
          </w:p>
        </w:tc>
        <w:tc>
          <w:tcPr>
            <w:tcW w:type="dxa" w:w="215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Source and date</w:t>
            </w:r>
          </w:p>
        </w:tc>
        <w:tc>
          <w:tcPr>
            <w:tcW w:type="dxa" w:w="164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Owner</w:t>
            </w:r>
          </w:p>
        </w:tc>
        <w:tc>
          <w:tcPr>
            <w:tcW w:type="dxa" w:w="1417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Confidence (High, Medium, Low)</w:t>
            </w:r>
          </w:p>
        </w:tc>
      </w:tr>
      <w:tr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4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4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4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4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15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64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17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4. Hours and cash, apart</w:t>
      </w:r>
    </w:p>
    <w:p>
      <w:pPr>
        <w:spacing w:after="40"/>
      </w:pPr>
      <w:r>
        <w:rPr>
          <w:b/>
          <w:i w:val="0"/>
        </w:rPr>
        <w:t>Hours (capacity, not cash)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Line</w:t>
            </w:r>
          </w:p>
        </w:tc>
        <w:tc>
          <w:tcPr>
            <w:tcW w:type="dxa" w:w="4819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Hours</w:t>
            </w:r>
          </w:p>
        </w:tc>
      </w:tr>
      <w:tr>
        <w:tc>
          <w:tcPr>
            <w:tcW w:type="dxa" w:w="4819"/>
            <w:shd w:val="clear" w:color="auto" w:fill="F1F5F9"/>
          </w:tcPr>
          <w:p>
            <w:r/>
            <w:r>
              <w:rPr>
                <w:sz w:val="19"/>
              </w:rPr>
              <w:t>Hours a month now</w:t>
            </w:r>
          </w:p>
        </w:tc>
        <w:tc>
          <w:tcPr>
            <w:tcW w:type="dxa" w:w="4819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819"/>
            <w:shd w:val="clear" w:color="auto" w:fill="F1F5F9"/>
          </w:tcPr>
          <w:p>
            <w:r/>
            <w:r>
              <w:rPr>
                <w:sz w:val="19"/>
              </w:rPr>
              <w:t>Hours a month proposed</w:t>
            </w:r>
          </w:p>
        </w:tc>
        <w:tc>
          <w:tcPr>
            <w:tcW w:type="dxa" w:w="4819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819"/>
            <w:shd w:val="clear" w:color="auto" w:fill="F1F5F9"/>
          </w:tcPr>
          <w:p>
            <w:r/>
            <w:r>
              <w:rPr>
                <w:sz w:val="19"/>
              </w:rPr>
              <w:t>Hours released a month</w:t>
            </w:r>
          </w:p>
        </w:tc>
        <w:tc>
          <w:tcPr>
            <w:tcW w:type="dxa" w:w="4819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4819"/>
            <w:shd w:val="clear" w:color="auto" w:fill="F1F5F9"/>
          </w:tcPr>
          <w:p>
            <w:r/>
            <w:r>
              <w:rPr>
                <w:sz w:val="19"/>
              </w:rPr>
              <w:t>Implementation time from existing staff</w:t>
            </w:r>
          </w:p>
        </w:tc>
        <w:tc>
          <w:tcPr>
            <w:tcW w:type="dxa" w:w="4819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spacing w:after="40"/>
      </w:pPr>
      <w:r>
        <w:rPr>
          <w:b/>
          <w:i w:val="0"/>
        </w:rPr>
        <w:t>Cash (dollars)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62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Line</w:t>
            </w:r>
          </w:p>
        </w:tc>
        <w:tc>
          <w:tcPr>
            <w:tcW w:type="dxa" w:w="3005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Base case</w:t>
            </w:r>
          </w:p>
        </w:tc>
        <w:tc>
          <w:tcPr>
            <w:tcW w:type="dxa" w:w="3005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Downside</w:t>
            </w:r>
          </w:p>
        </w:tc>
      </w:tr>
      <w:tr>
        <w:tc>
          <w:tcPr>
            <w:tcW w:type="dxa" w:w="3628"/>
            <w:shd w:val="clear" w:color="auto" w:fill="F1F5F9"/>
          </w:tcPr>
          <w:p>
            <w:r/>
            <w:r>
              <w:rPr>
                <w:sz w:val="19"/>
              </w:rPr>
              <w:t>Upfront cash</w:t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628"/>
            <w:shd w:val="clear" w:color="auto" w:fill="F1F5F9"/>
          </w:tcPr>
          <w:p>
            <w:r/>
            <w:r>
              <w:rPr>
                <w:sz w:val="19"/>
              </w:rPr>
              <w:t>Gross cash benefit a month (only spending that actually changes)</w:t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628"/>
            <w:shd w:val="clear" w:color="auto" w:fill="F1F5F9"/>
          </w:tcPr>
          <w:p>
            <w:r/>
            <w:r>
              <w:rPr>
                <w:sz w:val="19"/>
              </w:rPr>
              <w:t>Software a month</w:t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628"/>
            <w:shd w:val="clear" w:color="auto" w:fill="F1F5F9"/>
          </w:tcPr>
          <w:p>
            <w:r/>
            <w:r>
              <w:rPr>
                <w:sz w:val="19"/>
              </w:rPr>
              <w:t>Other running costs a month</w:t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628"/>
            <w:shd w:val="clear" w:color="auto" w:fill="F1F5F9"/>
          </w:tcPr>
          <w:p>
            <w:r/>
            <w:r>
              <w:rPr>
                <w:sz w:val="19"/>
              </w:rPr>
              <w:t>Net cash benefit a month</w:t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3628"/>
            <w:shd w:val="clear" w:color="auto" w:fill="F1F5F9"/>
          </w:tcPr>
          <w:p>
            <w:r/>
            <w:r>
              <w:rPr>
                <w:sz w:val="19"/>
              </w:rPr>
              <w:t>Simple payback after go-live (upfront divided by net a month)</w:t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005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color w:val="555555"/>
          <w:sz w:val="19"/>
        </w:rPr>
        <w:t>Choose the downside before you see the result. Hours freed become cash only when a contract ends, a hire is avoided or a cost falls.</w:t>
      </w:r>
    </w:p>
    <w:p>
      <w:pPr>
        <w:pStyle w:val="Heading2"/>
      </w:pPr>
      <w:r>
        <w:t>5. Risks and control conditions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70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Test</w:t>
            </w:r>
          </w:p>
        </w:tc>
        <w:tc>
          <w:tcPr>
            <w:tcW w:type="dxa" w:w="294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Evidence required</w:t>
            </w:r>
          </w:p>
        </w:tc>
        <w:tc>
          <w:tcPr>
            <w:tcW w:type="dxa" w:w="238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Result (Pass, Fail, Not yet shown)</w:t>
            </w:r>
          </w:p>
        </w:tc>
        <w:tc>
          <w:tcPr>
            <w:tcW w:type="dxa" w:w="260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Owner</w:t>
            </w:r>
          </w:p>
        </w:tc>
      </w:tr>
      <w:tr>
        <w:tc>
          <w:tcPr>
            <w:tcW w:type="dxa" w:w="1701"/>
            <w:shd w:val="clear" w:color="auto" w:fill="F1F5F9"/>
          </w:tcPr>
          <w:p>
            <w:r/>
            <w:r>
              <w:rPr>
                <w:sz w:val="19"/>
              </w:rPr>
              <w:t>Volume</w:t>
            </w:r>
          </w:p>
        </w:tc>
        <w:tc>
          <w:tcPr>
            <w:tcW w:type="dxa" w:w="2948"/>
            <w:shd w:val="clear" w:color="auto" w:fill="F1F5F9"/>
          </w:tcPr>
          <w:p>
            <w:r/>
            <w:r>
              <w:rPr>
                <w:sz w:val="19"/>
              </w:rPr>
              <w:t>Baseline for at least four weeks</w:t>
            </w:r>
          </w:p>
        </w:tc>
        <w:tc>
          <w:tcPr>
            <w:tcW w:type="dxa" w:w="238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60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701"/>
            <w:shd w:val="clear" w:color="auto" w:fill="F1F5F9"/>
          </w:tcPr>
          <w:p>
            <w:r/>
            <w:r>
              <w:rPr>
                <w:sz w:val="19"/>
              </w:rPr>
              <w:t>Error cost</w:t>
            </w:r>
          </w:p>
        </w:tc>
        <w:tc>
          <w:tcPr>
            <w:tcW w:type="dxa" w:w="2948"/>
            <w:shd w:val="clear" w:color="auto" w:fill="F1F5F9"/>
          </w:tcPr>
          <w:p>
            <w:r/>
            <w:r>
              <w:rPr>
                <w:sz w:val="19"/>
              </w:rPr>
              <w:t>Documented avoidable losses</w:t>
            </w:r>
          </w:p>
        </w:tc>
        <w:tc>
          <w:tcPr>
            <w:tcW w:type="dxa" w:w="238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60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701"/>
            <w:shd w:val="clear" w:color="auto" w:fill="F1F5F9"/>
          </w:tcPr>
          <w:p>
            <w:r/>
            <w:r>
              <w:rPr>
                <w:sz w:val="19"/>
              </w:rPr>
              <w:t>Control risk</w:t>
            </w:r>
          </w:p>
        </w:tc>
        <w:tc>
          <w:tcPr>
            <w:tcW w:type="dxa" w:w="2948"/>
            <w:shd w:val="clear" w:color="auto" w:fill="F1F5F9"/>
          </w:tcPr>
          <w:p>
            <w:r/>
            <w:r>
              <w:rPr>
                <w:sz w:val="19"/>
              </w:rPr>
              <w:t>Stop and recovery demonstrated</w:t>
            </w:r>
          </w:p>
        </w:tc>
        <w:tc>
          <w:tcPr>
            <w:tcW w:type="dxa" w:w="238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60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701"/>
            <w:shd w:val="clear" w:color="auto" w:fill="F1F5F9"/>
          </w:tcPr>
          <w:p>
            <w:r/>
            <w:r>
              <w:rPr>
                <w:sz w:val="19"/>
              </w:rPr>
              <w:t>Payback</w:t>
            </w:r>
          </w:p>
        </w:tc>
        <w:tc>
          <w:tcPr>
            <w:tcW w:type="dxa" w:w="2948"/>
            <w:shd w:val="clear" w:color="auto" w:fill="F1F5F9"/>
          </w:tcPr>
          <w:p>
            <w:r/>
            <w:r>
              <w:rPr>
                <w:sz w:val="19"/>
              </w:rPr>
              <w:t>Cash case with running costs</w:t>
            </w:r>
          </w:p>
        </w:tc>
        <w:tc>
          <w:tcPr>
            <w:tcW w:type="dxa" w:w="238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60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1701"/>
            <w:shd w:val="clear" w:color="auto" w:fill="F1F5F9"/>
          </w:tcPr>
          <w:p>
            <w:r/>
            <w:r>
              <w:rPr>
                <w:sz w:val="19"/>
              </w:rPr>
              <w:t>Doing nothing</w:t>
            </w:r>
          </w:p>
        </w:tc>
        <w:tc>
          <w:tcPr>
            <w:tcW w:type="dxa" w:w="2948"/>
            <w:shd w:val="clear" w:color="auto" w:fill="F1F5F9"/>
          </w:tcPr>
          <w:p>
            <w:r/>
            <w:r>
              <w:rPr>
                <w:sz w:val="19"/>
              </w:rPr>
              <w:t>Costed alternative</w:t>
            </w:r>
          </w:p>
        </w:tc>
        <w:tc>
          <w:tcPr>
            <w:tcW w:type="dxa" w:w="238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60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49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Risk</w:t>
            </w:r>
          </w:p>
        </w:tc>
        <w:tc>
          <w:tcPr>
            <w:tcW w:type="dxa" w:w="136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Likelihood</w:t>
            </w:r>
          </w:p>
        </w:tc>
        <w:tc>
          <w:tcPr>
            <w:tcW w:type="dxa" w:w="204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Consequence</w:t>
            </w:r>
          </w:p>
        </w:tc>
        <w:tc>
          <w:tcPr>
            <w:tcW w:type="dxa" w:w="226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Control</w:t>
            </w:r>
          </w:p>
        </w:tc>
        <w:tc>
          <w:tcPr>
            <w:tcW w:type="dxa" w:w="147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Responsible</w:t>
            </w:r>
          </w:p>
        </w:tc>
      </w:tr>
      <w:tr>
        <w:tc>
          <w:tcPr>
            <w:tcW w:type="dxa" w:w="249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36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36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49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36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04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226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47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b w:val="0"/>
          <w:i/>
          <w:color w:val="555555"/>
          <w:sz w:val="19"/>
        </w:rPr>
        <w:t>Look at how likely each risk is and the damage if it happens, then decide who is responsible for each part (business.gov.au, Make a risk management plan).</w:t>
      </w:r>
    </w:p>
    <w:p>
      <w:pPr>
        <w:pStyle w:val="Heading2"/>
      </w:pPr>
      <w:r>
        <w:t>6. Proposed resolution and sign-off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Resolution (decline, defer or approve), conditions and deadline</w:t>
            </w:r>
          </w:p>
        </w:tc>
      </w:tr>
      <w:tr>
        <w:tc>
          <w:tcPr>
            <w:tcW w:type="dxa" w:w="963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63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963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551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Role</w:t>
            </w:r>
          </w:p>
        </w:tc>
        <w:tc>
          <w:tcPr>
            <w:tcW w:type="dxa" w:w="3118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198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Signed</w:t>
            </w:r>
          </w:p>
        </w:tc>
        <w:tc>
          <w:tcPr>
            <w:tcW w:type="dxa" w:w="1984"/>
            <w:shd w:val="clear" w:color="auto" w:fill="1F3A4D"/>
          </w:tcPr>
          <w:p>
            <w:r/>
            <w:r>
              <w:rPr>
                <w:b/>
                <w:color w:val="FFFFFF"/>
                <w:sz w:val="19"/>
              </w:rPr>
              <w:t>Date</w:t>
            </w:r>
          </w:p>
        </w:tc>
      </w:tr>
      <w:tr>
        <w:tc>
          <w:tcPr>
            <w:tcW w:type="dxa" w:w="255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  <w:tr>
        <w:tc>
          <w:tcPr>
            <w:tcW w:type="dxa" w:w="2551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3118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  <w:tc>
          <w:tcPr>
            <w:tcW w:type="dxa" w:w="1984"/>
            <w:shd w:val="clear" w:color="auto" w:fill="F1F5F9"/>
          </w:tcPr>
          <w:p>
            <w:r/>
            <w:r>
              <w:rPr>
                <w:sz w:val="19"/>
              </w:rPr>
            </w:r>
          </w:p>
        </w:tc>
      </w:tr>
    </w:tbl>
    <w:p>
      <w:pPr>
        <w:spacing w:after="40"/>
      </w:pPr>
    </w:p>
    <w:p>
      <w:pPr>
        <w:pStyle w:val="Heading2"/>
      </w:pPr>
      <w:r>
        <w:t>Evidence basis</w:t>
      </w:r>
    </w:p>
    <w:p>
      <w:pPr>
        <w:pStyle w:val="ListBullet"/>
        <w:spacing w:after="40"/>
      </w:pPr>
      <w:r>
        <w:t>business.gov.au, “Develop your digital strategy”: allocate resources and responsibilities; set measurable targets for each digital goal and have a plan to measure progress; plan to review the strategy regularly. Read 3 November 2026; no page date shown. https://business.gov.au/online-and-digital/develop-your-digital-strategy</w:t>
      </w:r>
    </w:p>
    <w:p>
      <w:pPr>
        <w:pStyle w:val="ListBullet"/>
        <w:spacing w:after="40"/>
      </w:pPr>
      <w:r>
        <w:t>business.gov.au, “Make a risk management plan”: look at the likelihood of the event and the consequence if it happens; decide who is responsible for each part of the plan; schedule regular checking and updating of risks. Read 3 November 2026; no page date shown. https://business.gov.au/risk-management/risk-assessment-and-planning/make-risk-management-plan</w:t>
      </w:r>
    </w:p>
    <w:p>
      <w:pPr>
        <w:pStyle w:val="ListBullet"/>
        <w:spacing w:after="40"/>
      </w:pPr>
      <w:r>
        <w:t>Microsoft, “NPV function”: values must be equally spaced in time and occur at the end of each period. Read 3 November 2026; no page date shown. https://support.microsoft.com/en-us/excel/functions/npv-function</w:t>
      </w:r>
    </w:p>
    <w:p>
      <w:pPr>
        <w:pStyle w:val="ListBullet"/>
        <w:spacing w:after="40"/>
      </w:pPr>
      <w:r>
        <w:t>The five tests and the sample figures are from the article. The layout is the author’s own method, not a published standard.</w:t>
      </w:r>
    </w:p>
    <w:sectPr w:rsidR="00FC693F" w:rsidRPr="0006063C" w:rsidSect="00034616"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 w:eastAsia="Calibri"/>
      <w:b/>
      <w:bCs/>
      <w:color w:val="1F3A4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 w:eastAsia="Calibri"/>
      <w:b/>
      <w:bCs/>
      <w:color w:val="1F3A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investment decision paper</dc:title>
  <dc:subject/>
  <dc:creator>Renzo Demartini</dc:creator>
  <cp:keywords/>
  <dc:description/>
  <cp:lastModifiedBy>Renzo Demartini</cp:lastModifiedBy>
  <cp:revision>1</cp:revision>
  <dcterms:created xsi:type="dcterms:W3CDTF">2026-11-03T04:30:00Z</dcterms:created>
  <dcterms:modified xsi:type="dcterms:W3CDTF">2026-11-03T04:30:00Z</dcterms:modified>
  <cp:category/>
</cp:coreProperties>
</file>